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GoBack"/>
      <w:r>
        <w:rPr>
          <w:rFonts w:hint="eastAsia" w:ascii="华文中宋" w:hAnsi="华文中宋" w:eastAsia="华文中宋"/>
        </w:rPr>
        <w:t>集中采购转自行采购项目成交结果公告</w:t>
      </w:r>
    </w:p>
    <w:bookmarkEnd w:id="0"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主要内容：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预算金额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二、成交供应商信息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成交供应商征集筛选情况：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成交供应商名称：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成交供应商地址：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成交金额：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三、主要标的信息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品牌（如有）：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规格型号：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单价：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交货期：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1.采购人信息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2.采购代理机构信息（如有）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采购人、采购代理机构应当按照《深圳经济特区政府采购条例》有关要求，将集中采购转自行采购项目成交结果公告中涉及国家秘密、商业秘密的内容删除后予以公开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C4A98"/>
    <w:rsid w:val="09C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2020-06-05T03:10:00Z</dcterms:created>
  <dc:creator>小圆</dc:creator>
  <cp:lastModifiedBy>小圆</cp:lastModifiedBy>
  <dcterms:modified xsi:type="dcterms:W3CDTF">2020-06-05T03:10:50Z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